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27A" w:rsidRDefault="009A427A" w:rsidP="009A427A">
      <w:pPr>
        <w:shd w:val="clear" w:color="auto" w:fill="FFFFFF"/>
        <w:spacing w:before="161" w:after="15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>К замечанию 5</w:t>
      </w:r>
    </w:p>
    <w:bookmarkEnd w:id="0"/>
    <w:p w:rsidR="00F91105" w:rsidRPr="00F91105" w:rsidRDefault="00F91105" w:rsidP="00F91105">
      <w:pPr>
        <w:shd w:val="clear" w:color="auto" w:fill="FFFFFF"/>
        <w:spacing w:before="161" w:after="15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  <w:r w:rsidRPr="00F91105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>Учетная политика в СНТ (нюансы)</w:t>
      </w:r>
    </w:p>
    <w:p w:rsidR="00F91105" w:rsidRPr="00F91105" w:rsidRDefault="00F91105" w:rsidP="00F9110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A6A6A"/>
          <w:sz w:val="21"/>
          <w:szCs w:val="21"/>
          <w:lang w:eastAsia="ru-RU"/>
        </w:rPr>
      </w:pPr>
    </w:p>
    <w:p w:rsidR="00F91105" w:rsidRPr="00F91105" w:rsidRDefault="00F91105" w:rsidP="00F91105">
      <w:pPr>
        <w:shd w:val="clear" w:color="auto" w:fill="FFFFFF"/>
        <w:spacing w:after="300" w:line="312" w:lineRule="atLeast"/>
        <w:outlineLvl w:val="1"/>
        <w:rPr>
          <w:rFonts w:ascii="Trebuchet MS" w:eastAsia="Times New Roman" w:hAnsi="Trebuchet MS" w:cs="Times New Roman"/>
          <w:b/>
          <w:bCs/>
          <w:color w:val="000000"/>
          <w:sz w:val="38"/>
          <w:szCs w:val="38"/>
          <w:lang w:eastAsia="ru-RU"/>
        </w:rPr>
      </w:pPr>
      <w:r w:rsidRPr="00F91105">
        <w:rPr>
          <w:rFonts w:ascii="Trebuchet MS" w:eastAsia="Times New Roman" w:hAnsi="Trebuchet MS" w:cs="Times New Roman"/>
          <w:b/>
          <w:bCs/>
          <w:color w:val="000000"/>
          <w:sz w:val="38"/>
          <w:szCs w:val="38"/>
          <w:lang w:eastAsia="ru-RU"/>
        </w:rPr>
        <w:t>Какие нормативные документы потребуются для составления учетной политики СНТ?</w:t>
      </w:r>
    </w:p>
    <w:p w:rsidR="00F91105" w:rsidRPr="00F91105" w:rsidRDefault="00F91105" w:rsidP="00F91105">
      <w:pPr>
        <w:shd w:val="clear" w:color="auto" w:fill="FFFFFF"/>
        <w:spacing w:before="100" w:beforeAutospacing="1" w:after="300" w:line="336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F9110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При составлении учетной политики (УП) садового некоммерческого товарищества (СНТ) необходимо руководствоваться как общими принципами и требованиями, так и учитывать нюансы специфичной </w:t>
      </w:r>
      <w:proofErr w:type="spellStart"/>
      <w:r w:rsidRPr="00F9110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нормативки</w:t>
      </w:r>
      <w:proofErr w:type="spellEnd"/>
      <w:r w:rsidRPr="00F9110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 Среди важных и обязательных документов, требования которых необходимо учесть при составлении УП СНТ, можно назвать:</w:t>
      </w:r>
    </w:p>
    <w:p w:rsidR="00F91105" w:rsidRPr="00F91105" w:rsidRDefault="009A427A" w:rsidP="00F911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hyperlink r:id="rId5" w:history="1">
        <w:r w:rsidR="00F91105" w:rsidRPr="00F91105">
          <w:rPr>
            <w:rFonts w:ascii="Trebuchet MS" w:eastAsia="Times New Roman" w:hAnsi="Trebuchet MS" w:cs="Times New Roman"/>
            <w:color w:val="0066CC"/>
            <w:sz w:val="27"/>
            <w:szCs w:val="27"/>
            <w:u w:val="single"/>
            <w:lang w:eastAsia="ru-RU"/>
          </w:rPr>
          <w:t>закон «О бухучете» от 06.12.2011 № 402-ФЗ</w:t>
        </w:r>
      </w:hyperlink>
      <w:r w:rsidR="00F91105" w:rsidRPr="00F9110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;</w:t>
      </w:r>
    </w:p>
    <w:p w:rsidR="00F91105" w:rsidRPr="00F91105" w:rsidRDefault="009A427A" w:rsidP="00F911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hyperlink r:id="rId6" w:history="1">
        <w:r w:rsidR="00F91105" w:rsidRPr="00F91105">
          <w:rPr>
            <w:rFonts w:ascii="Trebuchet MS" w:eastAsia="Times New Roman" w:hAnsi="Trebuchet MS" w:cs="Times New Roman"/>
            <w:color w:val="0066CC"/>
            <w:sz w:val="27"/>
            <w:szCs w:val="27"/>
            <w:u w:val="single"/>
            <w:lang w:eastAsia="ru-RU"/>
          </w:rPr>
          <w:t>ПБУ 1/2008 «Учетная политика организации»</w:t>
        </w:r>
      </w:hyperlink>
      <w:r w:rsidR="00F91105" w:rsidRPr="00F9110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, утвержденное приказом Минфина России от 06.10.2008 № 106н;</w:t>
      </w:r>
    </w:p>
    <w:p w:rsidR="00F91105" w:rsidRPr="00F91105" w:rsidRDefault="00F91105" w:rsidP="00F911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F9110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закон «О ведении гражданами садоводства и огородничества для собственных нужд...» от 29.07.2017 № 217-ФЗ;</w:t>
      </w:r>
    </w:p>
    <w:p w:rsidR="00F91105" w:rsidRPr="00F91105" w:rsidRDefault="00F91105" w:rsidP="00F911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F9110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НК РФ (</w:t>
      </w:r>
      <w:hyperlink r:id="rId7" w:history="1">
        <w:r w:rsidRPr="00F91105">
          <w:rPr>
            <w:rFonts w:ascii="Trebuchet MS" w:eastAsia="Times New Roman" w:hAnsi="Trebuchet MS" w:cs="Times New Roman"/>
            <w:color w:val="0066CC"/>
            <w:sz w:val="27"/>
            <w:szCs w:val="27"/>
            <w:u w:val="single"/>
            <w:lang w:eastAsia="ru-RU"/>
          </w:rPr>
          <w:t>ст. 313</w:t>
        </w:r>
      </w:hyperlink>
      <w:r w:rsidRPr="00F9110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);</w:t>
      </w:r>
    </w:p>
    <w:p w:rsidR="00F91105" w:rsidRPr="00F91105" w:rsidRDefault="00F91105" w:rsidP="00F911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F9110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иные нормативные акты (Типовые рекомендации по организации бухгалтерского учета для субъектов малого предпринимательства, утвержденные приказом Минфина России от 21.12.1998 № 64н, письма и разъяснения Минфина и др.).</w:t>
      </w:r>
    </w:p>
    <w:p w:rsidR="00F91105" w:rsidRPr="00F91105" w:rsidRDefault="00F91105" w:rsidP="00F91105">
      <w:pPr>
        <w:shd w:val="clear" w:color="auto" w:fill="FFFFFF"/>
        <w:spacing w:before="100" w:beforeAutospacing="1" w:after="300" w:line="336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F9110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Помимо учетной политики в целях бухучета необходимо предусмотреть и налоговый раздел УП. Особенную актуальность такой раздел приобретает в том случае, если СНТ кроме уставной ведет еще и коммерческую деятельность. В этом случае в УП необходимо расписать алгоритм раздельного учета доходов и расходов от уставной и коммерческой деятельности.</w:t>
      </w:r>
    </w:p>
    <w:p w:rsidR="00F91105" w:rsidRPr="00F91105" w:rsidRDefault="00F91105" w:rsidP="00F91105">
      <w:pPr>
        <w:shd w:val="clear" w:color="auto" w:fill="FFFFFF"/>
        <w:spacing w:before="600" w:after="300" w:line="312" w:lineRule="atLeast"/>
        <w:outlineLvl w:val="1"/>
        <w:rPr>
          <w:rFonts w:ascii="Trebuchet MS" w:eastAsia="Times New Roman" w:hAnsi="Trebuchet MS" w:cs="Times New Roman"/>
          <w:b/>
          <w:bCs/>
          <w:color w:val="000000"/>
          <w:sz w:val="38"/>
          <w:szCs w:val="38"/>
          <w:lang w:eastAsia="ru-RU"/>
        </w:rPr>
      </w:pPr>
      <w:r w:rsidRPr="00F91105">
        <w:rPr>
          <w:rFonts w:ascii="Trebuchet MS" w:eastAsia="Times New Roman" w:hAnsi="Trebuchet MS" w:cs="Times New Roman"/>
          <w:b/>
          <w:bCs/>
          <w:color w:val="000000"/>
          <w:sz w:val="38"/>
          <w:szCs w:val="38"/>
          <w:lang w:eastAsia="ru-RU"/>
        </w:rPr>
        <w:t>Состав и иные нюансы учетной политики СНТ</w:t>
      </w:r>
    </w:p>
    <w:p w:rsidR="00F91105" w:rsidRPr="00F91105" w:rsidRDefault="00F91105" w:rsidP="00F91105">
      <w:pPr>
        <w:shd w:val="clear" w:color="auto" w:fill="FFFFFF"/>
        <w:spacing w:before="100" w:beforeAutospacing="1" w:after="300" w:line="336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F9110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Основной раздел УП СНТ — учетная политика в целях бухучета, где необходимо предусмотреть следующее:</w:t>
      </w:r>
    </w:p>
    <w:p w:rsidR="00F91105" w:rsidRPr="00F91105" w:rsidRDefault="00F91105" w:rsidP="00F911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F9110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Условия, периодичность и иные особенности проведения в СНТ инвентаризации имущества и обязательств — эту информацию желательно детализировать по видам: плановые и внезапные инвентаризации, инвентаризация кассы, инвентаризация при смене материально ответственного лица и др.</w:t>
      </w:r>
    </w:p>
    <w:p w:rsidR="00F91105" w:rsidRPr="00F91105" w:rsidRDefault="00F91105" w:rsidP="00F911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F9110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lastRenderedPageBreak/>
        <w:t>Порядок внутреннего контроля за хозяйственными операциями — для СНТ этот подраздел УП имеет особо важное значение, поскольку, как показывает практика, бесконтрольность в СНТ приводит к хищениям, махинациям и иным злоупотреблениям со стороны его администрации (председателя, казначея и других лиц).</w:t>
      </w:r>
    </w:p>
    <w:p w:rsidR="00F91105" w:rsidRPr="00F91105" w:rsidRDefault="009A427A" w:rsidP="00F911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hyperlink r:id="rId8" w:history="1">
        <w:r w:rsidR="00F91105" w:rsidRPr="00F91105">
          <w:rPr>
            <w:rFonts w:ascii="Trebuchet MS" w:eastAsia="Times New Roman" w:hAnsi="Trebuchet MS" w:cs="Times New Roman"/>
            <w:color w:val="0066CC"/>
            <w:sz w:val="27"/>
            <w:szCs w:val="27"/>
            <w:u w:val="single"/>
            <w:lang w:eastAsia="ru-RU"/>
          </w:rPr>
          <w:t>Рабочий план счетов</w:t>
        </w:r>
      </w:hyperlink>
      <w:r w:rsidR="00F91105" w:rsidRPr="00F9110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— в него необходимо включить только те счета, которые СНТ планирует использовать (например, 86 «Целевое финансирование», 76 «Расчеты с разными дебиторами и кредиторами», 10 «Запасы» и др.).</w:t>
      </w:r>
    </w:p>
    <w:p w:rsidR="00F91105" w:rsidRPr="00F91105" w:rsidRDefault="009A427A" w:rsidP="00F911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hyperlink r:id="rId9" w:history="1">
        <w:r w:rsidR="00F91105" w:rsidRPr="00F91105">
          <w:rPr>
            <w:rFonts w:ascii="Trebuchet MS" w:eastAsia="Times New Roman" w:hAnsi="Trebuchet MS" w:cs="Times New Roman"/>
            <w:color w:val="0066CC"/>
            <w:sz w:val="27"/>
            <w:szCs w:val="27"/>
            <w:u w:val="single"/>
            <w:lang w:eastAsia="ru-RU"/>
          </w:rPr>
          <w:t>Формы первичных документов</w:t>
        </w:r>
      </w:hyperlink>
      <w:r w:rsidR="00F91105" w:rsidRPr="00F9110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— их можно взять из альбома унифицированных форм первичных документов либо разработать самостоятельно, предусмотрев в них все обязательные реквизиты (ст. 9 закона № 402-ФЗ). Для оформления кассовых операций разработанные СНТ документы не подойдут — в этом случае необходимо применять унифицированные формы.</w:t>
      </w:r>
    </w:p>
    <w:p w:rsidR="00F91105" w:rsidRPr="00F91105" w:rsidRDefault="009A427A" w:rsidP="00F911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hyperlink r:id="rId10" w:history="1">
        <w:r w:rsidR="00F91105" w:rsidRPr="00F91105">
          <w:rPr>
            <w:rFonts w:ascii="Trebuchet MS" w:eastAsia="Times New Roman" w:hAnsi="Trebuchet MS" w:cs="Times New Roman"/>
            <w:color w:val="0066CC"/>
            <w:sz w:val="27"/>
            <w:szCs w:val="27"/>
            <w:u w:val="single"/>
            <w:lang w:eastAsia="ru-RU"/>
          </w:rPr>
          <w:t>График документооборота</w:t>
        </w:r>
      </w:hyperlink>
      <w:r w:rsidR="00F91105" w:rsidRPr="00F9110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— в нем следует расписать этапы работы с первичными документами (оформление, согласование, утверждение, внесение информации в учетные регистры и др.), установить предельно-допустимые сроки на каждом этапе и обозначить ответственных лиц.</w:t>
      </w:r>
    </w:p>
    <w:p w:rsidR="00F91105" w:rsidRPr="00F91105" w:rsidRDefault="00F91105" w:rsidP="00F91105">
      <w:pPr>
        <w:shd w:val="clear" w:color="auto" w:fill="FFFFFF"/>
        <w:spacing w:before="100" w:beforeAutospacing="1" w:after="300" w:line="336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F9110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 01.01.2022 обязателен к применению ФСБУ 27/2021 «Документы и документооборот». Напомним, что график документооборота является обязательным приложением к учетной политике.</w:t>
      </w:r>
    </w:p>
    <w:p w:rsidR="00F91105" w:rsidRPr="00F91105" w:rsidRDefault="00F91105" w:rsidP="00F911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F9110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Применяемые учетные методы и порядок ведения кассовых операций.</w:t>
      </w:r>
    </w:p>
    <w:p w:rsidR="00F91105" w:rsidRPr="00F91105" w:rsidRDefault="00F91105" w:rsidP="00F911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F9110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Иные важные аспекты (право подписи первичных документов, списки лиц, которым могут выдаваться подотчетные суммы и т. д.).</w:t>
      </w:r>
    </w:p>
    <w:p w:rsidR="00F91105" w:rsidRPr="00F91105" w:rsidRDefault="00F91105" w:rsidP="00F91105">
      <w:pPr>
        <w:shd w:val="clear" w:color="auto" w:fill="FFFFFF"/>
        <w:spacing w:before="100" w:beforeAutospacing="1" w:after="300" w:line="336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F9110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 01.01.2024 года обязательным к применению стал ФСБУ 14/2022 "Нематериальные активы". </w:t>
      </w:r>
      <w:r w:rsidRPr="00F91105">
        <w:rPr>
          <w:rFonts w:ascii="Trebuchet MS" w:eastAsia="Times New Roman" w:hAnsi="Trebuchet MS" w:cs="Times New Roman"/>
          <w:b/>
          <w:bCs/>
          <w:i/>
          <w:iCs/>
          <w:color w:val="000000"/>
          <w:sz w:val="27"/>
          <w:szCs w:val="27"/>
          <w:lang w:eastAsia="ru-RU"/>
        </w:rPr>
        <w:t>Подробнее о новшествах читайте в нашем </w:t>
      </w:r>
      <w:hyperlink r:id="rId11" w:history="1">
        <w:r w:rsidRPr="00F91105">
          <w:rPr>
            <w:rFonts w:ascii="Trebuchet MS" w:eastAsia="Times New Roman" w:hAnsi="Trebuchet MS" w:cs="Times New Roman"/>
            <w:b/>
            <w:bCs/>
            <w:i/>
            <w:iCs/>
            <w:color w:val="0066CC"/>
            <w:sz w:val="27"/>
            <w:szCs w:val="27"/>
            <w:u w:val="single"/>
            <w:lang w:eastAsia="ru-RU"/>
          </w:rPr>
          <w:t>материале</w:t>
        </w:r>
      </w:hyperlink>
      <w:r w:rsidRPr="00F91105">
        <w:rPr>
          <w:rFonts w:ascii="Trebuchet MS" w:eastAsia="Times New Roman" w:hAnsi="Trebuchet MS" w:cs="Times New Roman"/>
          <w:b/>
          <w:bCs/>
          <w:i/>
          <w:iCs/>
          <w:color w:val="000000"/>
          <w:sz w:val="27"/>
          <w:szCs w:val="27"/>
          <w:lang w:eastAsia="ru-RU"/>
        </w:rPr>
        <w:t>. </w:t>
      </w:r>
    </w:p>
    <w:p w:rsidR="00751F96" w:rsidRDefault="00F91105" w:rsidP="00751F96">
      <w:pPr>
        <w:shd w:val="clear" w:color="auto" w:fill="FFFFFF"/>
        <w:spacing w:before="600" w:after="300" w:line="312" w:lineRule="atLeast"/>
        <w:outlineLvl w:val="1"/>
        <w:rPr>
          <w:rFonts w:ascii="Trebuchet MS" w:eastAsia="Times New Roman" w:hAnsi="Trebuchet MS" w:cs="Times New Roman"/>
          <w:b/>
          <w:bCs/>
          <w:color w:val="000000"/>
          <w:sz w:val="38"/>
          <w:szCs w:val="38"/>
          <w:lang w:eastAsia="ru-RU"/>
        </w:rPr>
      </w:pPr>
      <w:proofErr w:type="gramStart"/>
      <w:r w:rsidRPr="00F91105">
        <w:rPr>
          <w:rFonts w:ascii="Trebuchet MS" w:eastAsia="Times New Roman" w:hAnsi="Trebuchet MS" w:cs="Times New Roman"/>
          <w:b/>
          <w:bCs/>
          <w:color w:val="000000"/>
          <w:sz w:val="38"/>
          <w:szCs w:val="38"/>
          <w:lang w:eastAsia="ru-RU"/>
        </w:rPr>
        <w:t>Итоги</w:t>
      </w:r>
      <w:r w:rsidR="00751F96">
        <w:rPr>
          <w:rFonts w:ascii="Trebuchet MS" w:eastAsia="Times New Roman" w:hAnsi="Trebuchet MS" w:cs="Times New Roman"/>
          <w:b/>
          <w:bCs/>
          <w:color w:val="000000"/>
          <w:sz w:val="38"/>
          <w:szCs w:val="38"/>
          <w:lang w:eastAsia="ru-RU"/>
        </w:rPr>
        <w:t xml:space="preserve"> :</w:t>
      </w:r>
      <w:proofErr w:type="gramEnd"/>
    </w:p>
    <w:p w:rsidR="00F91105" w:rsidRPr="00F91105" w:rsidRDefault="00F91105" w:rsidP="00751F96">
      <w:pPr>
        <w:shd w:val="clear" w:color="auto" w:fill="FFFFFF"/>
        <w:spacing w:before="600" w:after="300" w:line="312" w:lineRule="atLeast"/>
        <w:outlineLvl w:val="1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F9110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Каждому садоводческому некоммерческому товариществу необходимо разработать свою учетную политику. Она поможет упорядочить учет, систематизировать необходимую учетную информацию и добиться ее доступности и прозрачности для всех членов СНТ</w:t>
      </w:r>
      <w:r w:rsidR="00751F96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</w:t>
      </w:r>
      <w:r w:rsidRPr="00F9110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</w:p>
    <w:p w:rsidR="00E90159" w:rsidRDefault="00E90159"/>
    <w:sectPr w:rsidR="00E90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14BE8"/>
    <w:multiLevelType w:val="multilevel"/>
    <w:tmpl w:val="767A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237458"/>
    <w:multiLevelType w:val="multilevel"/>
    <w:tmpl w:val="4ADC2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A013B6"/>
    <w:multiLevelType w:val="multilevel"/>
    <w:tmpl w:val="E4682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005D73"/>
    <w:multiLevelType w:val="multilevel"/>
    <w:tmpl w:val="B3FAF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18"/>
    <w:rsid w:val="00117418"/>
    <w:rsid w:val="00732096"/>
    <w:rsid w:val="00751F96"/>
    <w:rsid w:val="009A427A"/>
    <w:rsid w:val="00E90159"/>
    <w:rsid w:val="00F9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F0DF5-55D1-4F1B-BA35-6E5DAC52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72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1898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6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467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67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822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9187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85446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689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89798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124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log-nalog.ru/buhgalterskij_uchet/vedenie_buhgalterskogo_ucheta/rabochij_plan_schetov_buhgalterskogo_ucheta_-_obrazec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log-nalog.ru/nalog_na_pribyl/raschet_ischislenie_naloga_na_pribyl/st_313_nk_rf_voprosy_i_otvet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log-nalog.ru/buhgalterskij_uchet/vedenie_buhgalterskogo_ucheta/pbu_12008_uchetnaya_politika_organizacii_nyuansy/" TargetMode="External"/><Relationship Id="rId11" Type="http://schemas.openxmlformats.org/officeDocument/2006/relationships/hyperlink" Target="https://nalog-nalog.ru/buhgalterskij_uchet/fsbu-14-2022-nematerialnye-aktivy-chto-novogo-kak-perejti-i-primenyat/" TargetMode="External"/><Relationship Id="rId5" Type="http://schemas.openxmlformats.org/officeDocument/2006/relationships/hyperlink" Target="https://nalog-nalog.ru/buhgalterskij_uchet/zakon_o_buhgalterskom_uchete/" TargetMode="External"/><Relationship Id="rId10" Type="http://schemas.openxmlformats.org/officeDocument/2006/relationships/hyperlink" Target="https://nalog-nalog.ru/buhgalterskij_uchet/vedenie_buhgalterskogo_ucheta/grafik_dokumentooborota_dlya_uchetnoj_politiki_obraze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log-nalog.ru/buhgalterskij_uchet/dokumenty_buhgalterskogo_uche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655</Words>
  <Characters>3735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2024-04-16T10:57:00Z</dcterms:created>
  <dcterms:modified xsi:type="dcterms:W3CDTF">2024-04-16T13:21:00Z</dcterms:modified>
</cp:coreProperties>
</file>